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Light" w:hAnsi="TradeGothicLight" w:cs="TradeGothicLight"/>
          <w:sz w:val="38"/>
          <w:szCs w:val="38"/>
        </w:rPr>
      </w:pPr>
      <w:r>
        <w:rPr>
          <w:rFonts w:ascii="TradeGothicLight" w:hAnsi="TradeGothicLight" w:cs="TradeGothicLight"/>
          <w:sz w:val="38"/>
          <w:szCs w:val="38"/>
        </w:rPr>
        <w:t>Summary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was instructed by the Government to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encourage greater interest in mathematics, natural sciences,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ICT. During the inquiry, the Delegation has conducted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outreach work, implemented the ‘The Broad Line’ campaign,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published background reports, organised a large number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conferences and roundtable talks, and taken an active role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media and debates.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work of the Technology Delegation has been guided by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following vision of the future: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has a strong competitive advantage in the global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knowledge economy and a stable national labour market.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tackles the major common challenges ahead, e.g.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in the areas of environment, demography and infrastructure.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gives all citizens the skills required to understand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take advantage of opportunities, and to influence developments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in a complex and technically advanced society.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This vision calls for very high levels of skill in mathematics, natural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sciences, technology and ICT, both in the labour market and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everyday life. The Technology Delegation’s inquiry shows that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currently, Sweden is poorly equipped to live up to these ambitions.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problems that the Technology Delegation has identified are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considerable. Student interest in specialising in science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is still too low. This poses a threat to future cuttingedge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expertise. Under even greater threat are the wide-ranging skills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all citizens need. These should be secured through the school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system.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problems are complex, as their root causes can be found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crisis of confidence that is currently affecting natural sciences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technology among young people throughout the western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15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t>Summary SOU 2010:28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world. Many young people seek relevance to societal issues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personal identity in their choice of education and career, but find it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difficult to recognise these aspects in mathematics, natural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sciences, technology and ICT. The problem is aggravated by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fact that the school system lacks the ability to harness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fundamental interest that most children and young people have;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nor does the school system develop to a sufficient level the skills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everyone needs. We are now seeing the consequences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form of declining pupil performance.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As regards the school system, the Technology Delegation has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highlighted in particular that leadership, monitoring, teacher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 and continuing education for teachers are not currently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working for mathematics, natural sciences, and, in particular,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technology. These subjects are extremely under-dimensioned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teacher education, despite the fact that the needs of schools are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great. In their operations, far too few school authorities take their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responsibility to strengthen these areas. The national resource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centres that support subject development have limited resources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mandates.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also stresses that the link between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school and higher education is weak. Higher education currently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has a recruitment base that is much too small, as too few pupils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lastRenderedPageBreak/>
        <w:t>leave upper secondary school with the appropriate entry qualifications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prior knowledge to go on to study in these fields. In some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educational programmes, uneven gender distribution is a serious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problem. The challenges facing higher education are many, and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knowledge standards required are rising apace with changes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society and the labour market. At the same time, there is a lack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coherent support structures at central level to develop teaching.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overcome these problems, coordinated, long-term and broad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efforts are needed that enjoy the full support of the municipalities,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business sector, stakeholder organisations and other key actors.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Based on both Sweden’s host of problems and other comparable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countries’ experiences, the Technology Delegation has presented a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model for how future efforts should be planned.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proposes that the Government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establish a national skills strategy for mathematics, natural sciences,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and ICT, which should aim to increase interest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improve the level of knowledge in these areas. The strategy’s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priority objectives should be that by 2020: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16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t>SOU 2010:28 Summary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all pupils at compulsory school have access to relevant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teaching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Swedish results in all PISA and TIMSS studies are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upper quartile in both mathematics and natural sciences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share of pupils completing a natural sciences or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upper secondary school programme is at least 30 per cent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share of pupils beginning an engineering programme at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higher education level is at least 10 per cent per age cohort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gender distribution in engineering programmes at higher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 level is even (within the range of 40–60 per cent).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achieve these objectives, the strategy should target the areas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teacher qualifications, teaching in schools, the transition between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school and higher education, teaching at higher education institutions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collaboration and dialogue with society.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Moreover, the Technology Delegation proposes that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Government appoint and lead a national commission with a special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focus on Sweden’s development in mathematics, natural sciences,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and ICT. This commission should be responsible for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strategy, monitor its different parts, promote efforts at political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level and mobilise the key actors that can make a contribution.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also proposes a number of initiatives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relating to school, society and higher education that the Government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should adopt and finance in the first stage of strategic work.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These are: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Technology and Science Municipalities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Recruitment campaign for the new teacher education programmes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Targeted continuing education for teachers and study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careers counsellors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Shortened teacher education programmes for people with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specialist subject knowledge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Development of teaching in schools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Marketing initiatives, such as ‘The Broad Line’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Collaboration between schools and working life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17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t>Summary SOU 2010:28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lastRenderedPageBreak/>
        <w:t>18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Initiatives and projects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Transition between school and higher education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Development of teaching in higher education institutions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implement the strategy, the Technology Delegation proposes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the Government set up a Platform for Technology and Science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with responsibility for coordination, allocation of funds, communication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analysis. The work should be conducted in partnership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with the actors currently involved in these issues.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Finally, the Technology Delegation wishes to take a number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standpoints relating to current education policy reforms. Most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these have been communicated by the Technology Delegation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course of its inquiry. They include: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the technical and natural sciences upper secondary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programmes so that more pupils meet the entry requirements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for higher education in these areas;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technology as a subject in compulsory school so as to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strengthen its relevance and scientific basis;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more stringent qualification requirements for teachers, including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requirement that they have both specialised knowledge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subject and teaching skills;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teacher education so that future teachers have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necessary skills in mathematics, natural sciences, technology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Light" w:hAnsi="TradeGothicLight" w:cs="TradeGothicLight"/>
          <w:sz w:val="38"/>
          <w:szCs w:val="38"/>
        </w:rPr>
      </w:pPr>
      <w:r>
        <w:rPr>
          <w:rFonts w:ascii="OrigGarmndBT" w:hAnsi="OrigGarmndBT" w:cs="OrigGarmndBT"/>
        </w:rPr>
        <w:t>ICT</w:t>
      </w:r>
      <w:r>
        <w:rPr>
          <w:rFonts w:ascii="TradeGothicLight" w:hAnsi="TradeGothicLight" w:cs="TradeGothicLight"/>
          <w:sz w:val="38"/>
          <w:szCs w:val="38"/>
        </w:rPr>
        <w:t>Summary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was instructed by the Government to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encourage greater interest in mathematics, natural sciences,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ICT. During the inquiry, the Delegation has conducted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outreach work, implemented the ‘The Broad Line’ campaign,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published background reports, organised a large number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conferences and roundtable talks, and taken an active role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media and debates.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work of the Technology Delegation has been guided by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following vision of the future: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has a strong competitive advantage in the global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knowledge economy and a stable national labour market.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tackles the major common challenges ahead, e.g.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in the areas of environment, demography and infrastructure.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 Sweden that gives all citizens the skills required to understand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take advantage of opportunities, and to influence developments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in a complex and technically advanced society.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This vision calls for very high levels of skill in mathematics, natural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sciences, technology and ICT, both in the labour market and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everyday life. The Technology Delegation’s inquiry shows that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currently, Sweden is poorly equipped to live up to these ambitions.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problems that the Technology Delegation has identified are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considerable. Student interest in specialising in science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is still too low. This poses a threat to future cuttingedge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expertise. Under even greater threat are the wide-ranging skills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all citizens need. These should be secured through the school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system.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problems are complex, as their root causes can be found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crisis of confidence that is currently affecting natural sciences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technology among young people throughout the western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15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lastRenderedPageBreak/>
        <w:t>Summary SOU 2010:28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world. Many young people seek relevance to societal issues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personal identity in their choice of education and career, but find it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difficult to recognise these aspects in mathematics, natural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sciences, technology and ICT. The problem is aggravated by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fact that the school system lacks the ability to harness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fundamental interest that most children and young people have;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nor does the school system develop to a sufficient level the skills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everyone needs. We are now seeing the consequences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form of declining pupil performance.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As regards the school system, the Technology Delegation has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highlighted in particular that leadership, monitoring, teacher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 and continuing education for teachers are not currently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working for mathematics, natural sciences, and, in particular,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technology. These subjects are extremely under-dimensioned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teacher education, despite the fact that the needs of schools are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great. In their operations, far too few school authorities take their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responsibility to strengthen these areas. The national resource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centres that support subject development have limited resources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mandates.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also stresses that the link between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school and higher education is weak. Higher education currently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has a recruitment base that is much too small, as too few pupils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leave upper secondary school with the appropriate entry qualifications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prior knowledge to go on to study in these fields. In some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educational programmes, uneven gender distribution is a serious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problem. The challenges facing higher education are many, and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knowledge standards required are rising apace with changes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society and the labour market. At the same time, there is a lack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coherent support structures at central level to develop teaching.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overcome these problems, coordinated, long-term and broad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efforts are needed that enjoy the full support of the municipalities,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business sector, stakeholder organisations and other key actors.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Based on both Sweden’s host of problems and other comparable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countries’ experiences, the Technology Delegation has presented a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model for how future efforts should be planned.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proposes that the Government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establish a national skills strategy for mathematics, natural sciences,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and ICT, which should aim to increase interest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improve the level of knowledge in these areas. The strategy’s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priority objectives should be that by 2020: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16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t>SOU 2010:28 Summary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all pupils at compulsory school have access to relevant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teaching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Swedish results in all PISA and TIMSS studies are in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upper quartile in both mathematics and natural sciences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share of pupils completing a natural sciences or technology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upper secondary school programme is at least 30 per cent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share of pupils beginning an engineering programme at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higher education level is at least 10 per cent per age cohort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the gender distribution in engineering programmes at higher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education level is even (within the range of 40–60 per cent).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achieve these objectives, the strategy should target the areas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teacher qualifications, teaching in schools, the transition between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lastRenderedPageBreak/>
        <w:t>school and higher education, teaching at higher education institutions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collaboration and dialogue with society.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Moreover, the Technology Delegation proposes that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Government appoint and lead a national commission with a special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focus on Sweden’s development in mathematics, natural sciences,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technology and ICT. This commission should be responsible for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strategy, monitor its different parts, promote efforts at political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level and mobilise the key actors that can make a contribution.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Technology Delegation also proposes a number of initiatives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relating to school, society and higher education that the Government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should adopt and finance in the first stage of strategic work.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These are: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Technology and Science Municipalities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Recruitment campaign for the new teacher education programmes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Targeted continuing education for teachers and study and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careers counsellors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Shortened teacher education programmes for people with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specialist subject knowledge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Development of teaching in schools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Marketing initiatives, such as ‘The Broad Line’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Collaboration between schools and working life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17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6"/>
          <w:szCs w:val="16"/>
        </w:rPr>
      </w:pPr>
      <w:r>
        <w:rPr>
          <w:rFonts w:ascii="TradeGothic,Bold" w:hAnsi="TradeGothic,Bold" w:cs="TradeGothic,Bold"/>
          <w:b/>
          <w:bCs/>
          <w:sz w:val="16"/>
          <w:szCs w:val="16"/>
        </w:rPr>
        <w:t>Summary SOU 2010:28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TradeGothic,Bold" w:hAnsi="TradeGothic,Bold" w:cs="TradeGothic,Bold"/>
          <w:b/>
          <w:bCs/>
          <w:sz w:val="15"/>
          <w:szCs w:val="15"/>
        </w:rPr>
      </w:pPr>
      <w:r>
        <w:rPr>
          <w:rFonts w:ascii="TradeGothic,Bold" w:hAnsi="TradeGothic,Bold" w:cs="TradeGothic,Bold"/>
          <w:b/>
          <w:bCs/>
          <w:sz w:val="15"/>
          <w:szCs w:val="15"/>
        </w:rPr>
        <w:t>18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Initiatives and projects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Transition between school and higher education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Development of teaching in higher education institutions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To implement the strategy, the Technology Delegation proposes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that the Government set up a Platform for Technology and Science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with responsibility for coordination, allocation of funds, communication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and analysis. The work should be conducted in partnership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with the actors currently involved in these issues.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Finally, the Technology Delegation wishes to take a number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standpoints relating to current education policy reforms. Most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these have been communicated by the Technology Delegation in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course of its inquiry. They include: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the technical and natural sciences upper secondary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programmes so that more pupils meet the entry requirements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for higher education in these areas;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technology as a subject in compulsory school so as to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strengthen its relevance and scientific basis;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more stringent qualification requirements for teachers, including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requirement that they have both specialised knowledge of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the subject and teaching skills;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OrigGarmndBT" w:hAnsi="OrigGarmndBT" w:cs="OrigGarmndBT"/>
        </w:rPr>
        <w:t>reforming teacher education so that future teachers have the</w:t>
      </w:r>
    </w:p>
    <w:p w:rsidR="003D4BCA" w:rsidRDefault="003D4BCA" w:rsidP="003D4BCA">
      <w:pPr>
        <w:autoSpaceDE w:val="0"/>
        <w:autoSpaceDN w:val="0"/>
        <w:adjustRightInd w:val="0"/>
        <w:spacing w:after="0" w:line="240" w:lineRule="auto"/>
        <w:rPr>
          <w:rFonts w:ascii="OrigGarmndBT" w:hAnsi="OrigGarmndBT" w:cs="OrigGarmndBT"/>
        </w:rPr>
      </w:pPr>
      <w:r>
        <w:rPr>
          <w:rFonts w:ascii="OrigGarmndBT" w:hAnsi="OrigGarmndBT" w:cs="OrigGarmndBT"/>
        </w:rPr>
        <w:t>necessary skills in mathematics, natural sciences, technology and</w:t>
      </w:r>
    </w:p>
    <w:p w:rsidR="00A9230D" w:rsidRDefault="003D4BCA" w:rsidP="003D4BCA">
      <w:r>
        <w:rPr>
          <w:rFonts w:ascii="OrigGarmndBT" w:hAnsi="OrigGarmndBT" w:cs="OrigGarmndBT"/>
        </w:rPr>
        <w:t>ICT</w:t>
      </w:r>
    </w:p>
    <w:sectPr w:rsidR="00A9230D" w:rsidSect="00A923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eGothic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rigGarmnd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eGothic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4BCA"/>
    <w:rsid w:val="003D4BCA"/>
    <w:rsid w:val="00A9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2179</Words>
  <Characters>12422</Characters>
  <Application>Microsoft Office Word</Application>
  <DocSecurity>0</DocSecurity>
  <Lines>103</Lines>
  <Paragraphs>29</Paragraphs>
  <ScaleCrop>false</ScaleCrop>
  <Company>Gloucestershire College</Company>
  <LinksUpToDate>false</LinksUpToDate>
  <CharactersWithSpaces>14572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ecdl001</dc:creator>
  <cp:keywords/>
  <dc:description/>
  <cp:lastModifiedBy>ecdl001</cp:lastModifiedBy>
  <cp:revision>2</cp:revision>
  <dcterms:created xsi:type="dcterms:W3CDTF">2011-03-24T18:16:00Z</dcterms:created>
  <dcterms:modified xsi:type="dcterms:W3CDTF">2011-03-24T18:17:00Z</dcterms:modified>
</cp:coreProperties>
</file>